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92" w:rsidRDefault="00DC0592" w:rsidP="00451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99A" w:rsidRPr="009E499A" w:rsidRDefault="009E499A" w:rsidP="009E49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  <w:bookmarkStart w:id="0" w:name="_GoBack"/>
      <w:bookmarkEnd w:id="0"/>
    </w:p>
    <w:p w:rsidR="009E499A" w:rsidRPr="004511F5" w:rsidRDefault="009E499A" w:rsidP="00451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4BE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1F5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511F5" w:rsidRDefault="004050E5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4511F5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  <w:r w:rsid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0B3" w:rsidRPr="004511F5">
        <w:rPr>
          <w:rFonts w:ascii="Times New Roman" w:eastAsia="Calibri" w:hAnsi="Times New Roman" w:cs="Times New Roman"/>
          <w:b/>
          <w:sz w:val="24"/>
          <w:szCs w:val="24"/>
        </w:rPr>
        <w:t>замещающего должность</w:t>
      </w:r>
      <w:r w:rsidR="009E03F5"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6AF2" w:rsidRPr="004511F5" w:rsidRDefault="00B1659E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старшего государственного инспектора </w:t>
      </w:r>
      <w:r w:rsidR="00E2590B" w:rsidRPr="004511F5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по надзору за объектами нефтегазового комплекса</w:t>
      </w:r>
      <w:r w:rsidR="000164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64DB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4511F5" w:rsidRDefault="00D96AF2" w:rsidP="004511F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4511F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EF2F4C" w:rsidRPr="004511F5" w:rsidRDefault="00EF2F4C" w:rsidP="004511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511F5" w:rsidRDefault="00DC059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>1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01408A" w:rsidRPr="004511F5">
        <w:rPr>
          <w:rFonts w:ascii="Times New Roman" w:eastAsia="Calibri" w:hAnsi="Times New Roman" w:cs="Times New Roman"/>
          <w:sz w:val="24"/>
          <w:szCs w:val="24"/>
        </w:rPr>
        <w:tab/>
      </w:r>
      <w:r w:rsidR="004050E5">
        <w:rPr>
          <w:rFonts w:ascii="Times New Roman" w:eastAsia="Calibri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(далее–гражданская служба) старшего государственного инспектора межрегионального отдела по надзору за объектами нефтегазового комплекса </w:t>
      </w:r>
      <w:r w:rsidR="004050E5"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– Управление)</w:t>
      </w:r>
      <w:r w:rsidR="004050E5">
        <w:t xml:space="preserve"> 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4511F5" w:rsidRDefault="00D96AF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11-3-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-0</w:t>
      </w:r>
      <w:r w:rsidR="00B1659E" w:rsidRPr="004511F5">
        <w:rPr>
          <w:rFonts w:ascii="Times New Roman" w:eastAsia="Calibri" w:hAnsi="Times New Roman" w:cs="Times New Roman"/>
          <w:sz w:val="24"/>
          <w:szCs w:val="24"/>
        </w:rPr>
        <w:t>49</w:t>
      </w:r>
      <w:r w:rsidRPr="004511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338" w:rsidRDefault="00AB3A24" w:rsidP="0017233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4050E5" w:rsidRPr="00172338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172338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="0011033C" w:rsidRPr="00172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гражданского служащего (далее – гражданский служащий): </w:t>
      </w:r>
    </w:p>
    <w:p w:rsidR="00172338" w:rsidRDefault="00AB3A24" w:rsidP="0017233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1723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3A24" w:rsidRPr="00172338" w:rsidRDefault="00172338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  <w:r w:rsidR="00AB3A24" w:rsidRPr="001723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338" w:rsidRPr="00172338" w:rsidRDefault="00AB3A24" w:rsidP="0017233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38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="0017233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172338" w:rsidRPr="00172338" w:rsidRDefault="00AB3A24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регулирование в сфере промышленной безопасности объектов нефтегазового </w:t>
      </w:r>
      <w:r w:rsid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</w:t>
      </w:r>
      <w:r w:rsid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3A24" w:rsidRPr="00172338" w:rsidRDefault="00172338" w:rsidP="0017233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AB3A24" w:rsidRPr="00172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50E5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Toc404604191"/>
      <w:bookmarkStart w:id="5" w:name="_Toc406419300"/>
      <w:bookmarkStart w:id="6" w:name="_Toc47985358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Назначение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4050E5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Старший государственный инспектор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непосредственно подчиняется начальнику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BA6256" w:rsidRPr="001B5CBF" w:rsidRDefault="004050E5" w:rsidP="001B5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замещающего должность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50E5" w:rsidRPr="004511F5" w:rsidRDefault="004050E5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050E5" w:rsidRDefault="004050E5" w:rsidP="004050E5">
      <w:pPr>
        <w:numPr>
          <w:ilvl w:val="0"/>
          <w:numId w:val="20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951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4050E5" w:rsidRPr="00A83951" w:rsidRDefault="004050E5" w:rsidP="004050E5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D304AD" w:rsidRDefault="004050E5" w:rsidP="004050E5">
      <w:pPr>
        <w:pStyle w:val="a8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D304AD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  устанавливаются следующие квалификационные требования.</w:t>
      </w:r>
    </w:p>
    <w:p w:rsidR="004050E5" w:rsidRPr="00A83951" w:rsidRDefault="004050E5" w:rsidP="004050E5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83951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r w:rsidRPr="00A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r w:rsidRPr="00A83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4050E5" w:rsidRPr="00A83951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2.2.3.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4050E5" w:rsidRPr="00A83951" w:rsidRDefault="004050E5" w:rsidP="004050E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«фишинговые» письма и спам–рассылки, умение корректно и своевременно реагировать на получение таких электронных сообщение;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4050E5" w:rsidRPr="00A83951" w:rsidRDefault="004050E5" w:rsidP="004050E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(флеш–накопителей, внешние жесткие диски), в особенности оборудованных приемо–передающей аппаратурой (мобильные телефоны, планшеты, модемы) к служебным средствам вычислительной техники (компьютерам).</w:t>
      </w:r>
    </w:p>
    <w:p w:rsidR="004050E5" w:rsidRPr="00A83951" w:rsidRDefault="004050E5" w:rsidP="00405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4050E5" w:rsidRPr="00A83951" w:rsidRDefault="004050E5" w:rsidP="004050E5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4050E5" w:rsidRPr="00A83951" w:rsidRDefault="004050E5" w:rsidP="004050E5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 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4050E5" w:rsidRPr="00A83951" w:rsidRDefault="004050E5" w:rsidP="004050E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межрегионального отдела по надзору за объектами нефтегазового комплекса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</w:p>
    <w:p w:rsidR="004050E5" w:rsidRPr="00A83951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4050E5" w:rsidRPr="00A83951" w:rsidRDefault="004050E5" w:rsidP="004050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4050E5" w:rsidRPr="00A83951" w:rsidRDefault="004050E5" w:rsidP="004050E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4050E5" w:rsidRPr="005E2203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B52C4F" w:rsidRDefault="004050E5" w:rsidP="00405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5E2203">
        <w:rPr>
          <w:rFonts w:ascii="Times New Roman" w:eastAsia="Calibri" w:hAnsi="Times New Roman" w:cs="Times New Roman"/>
          <w:sz w:val="24"/>
          <w:szCs w:val="24"/>
        </w:rPr>
        <w:t>отдела, должен иметь высшее образование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не ниже уровня бакалавриат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направлению(–ям) подготовки (специальности(–ям)) профессионального образования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«Государственное и муниципальное управление», «Менеджмент», «Управление персоналом», «Экономика» либо «Юриспруденция»,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и природопользование», </w:t>
      </w:r>
      <w:r w:rsidRPr="005E2203">
        <w:rPr>
          <w:rFonts w:ascii="Times New Roman" w:eastAsia="Calibri" w:hAnsi="Times New Roman" w:cs="Times New Roman"/>
          <w:sz w:val="24"/>
          <w:szCs w:val="24"/>
        </w:rPr>
        <w:t>«Химическая технология энергонасыщенных материалов и изделий», «Прикладная геология, горное дело, нефтегазовое дело и геодезия», «Х</w:t>
      </w:r>
      <w:r w:rsidRPr="005E2203">
        <w:rPr>
          <w:rFonts w:ascii="Times New Roman" w:eastAsia="Calibri" w:hAnsi="Times New Roman" w:cs="Times New Roman"/>
          <w:bCs/>
          <w:sz w:val="24"/>
          <w:szCs w:val="24"/>
        </w:rPr>
        <w:t xml:space="preserve">имические технологии» </w:t>
      </w:r>
      <w:r w:rsidRPr="005E2203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отдела,  должен  обладать  следующими  профессиональными  знаниями  в  сфере </w:t>
      </w:r>
    </w:p>
    <w:p w:rsidR="004050E5" w:rsidRPr="005E2203" w:rsidRDefault="004050E5" w:rsidP="00405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Федерации: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Конституцией Российской Федерации;</w:t>
      </w:r>
    </w:p>
    <w:p w:rsidR="004050E5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4050E5" w:rsidRPr="00B52C4F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25 декабря 2008 г. № 273-ФЗ «О противодействии коррупции»;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июля 1993 г. № 5485-1  «О государственной тайне»;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69-ФЗ «О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68-ФЗ «О защите населения и территорий от чрезвычайных ситуаций природного и техногенного характера»;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августа 1995 г. № 151-ФЗ «Об аварийно-спасательных службах и статусе спасателей»;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30 ноября 1995 г. </w:t>
      </w:r>
      <w:hyperlink r:id="rId9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>№ 187-ФЗ</w:t>
        </w:r>
      </w:hyperlink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«О континентальном шельфе 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21 июля 1997 г. № 116-ФЗ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br/>
        <w:t>«О промышленной безопасности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 июля 1998 г. №</w:t>
      </w:r>
      <w:hyperlink r:id="rId10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 xml:space="preserve">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«О внутренних морских водах, территориальном море и прилежащей зоне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декабря 2002 г. № 184-ФЗ «О техническом регулировании»;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мая 2006 г. № 59-ФЗ «О порядке рассмотрения обращений граждан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марта 2006 г. № 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июля 2008 г. № 123-ФЗ «Технический регламент о требованиях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30 декабря  2009 г. № 384-ФЗ «Технический регламент о безопасности зданий и сооружений»;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210-ФЗ «Об организации предоставления государственных и муниципальных услуг»;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4 мая 2011 г. № 99-ФЗ «О лицензировании отдельных видов деятельности»;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31 марта 1999 г. </w:t>
      </w:r>
      <w:hyperlink r:id="rId11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№ 69-ФЗ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газоснабжении в Российской Федерации»; </w:t>
      </w:r>
    </w:p>
    <w:p w:rsidR="00A15F4D" w:rsidRPr="00A15F4D" w:rsidRDefault="00A15F4D" w:rsidP="00A15F4D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Законом Российской Федерации от 21 февраля 1992 г. № 2395-1 «О недрах»;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Гражданским кодексом Российской Федерации от 30 ноября 1994 г. № 51-ФЗ (часть 1 и 2);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Кодексом Российской Федерации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от 30 декабря 2001 г. № 195-ФЗ (глава 9);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Градостроительным кодексом Российской Федерации от 29 декабря 2004 г. № 190-ФЗ;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25 декабря 2013 г. № 1244 «Об антитеррористической защищенности объектов (территорий)»;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2000 г. № 878 «Об утверждении Правил охраны газораспределительных сетей»;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17 мая 2002 г. № 317 «Правила пользования газом и предоставления услуг по газоснабжению в 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21 июля 2008 года № 549  «Правила поставки газа для обеспечения коммунально-бытовых нужд граждан»;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29 октября 2010 г. № 870 «Об утверждении технического регламента о безопасности сетей газораспределения и газопотребления»;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</w:r>
    </w:p>
    <w:p w:rsidR="00A15F4D" w:rsidRDefault="00A15F4D" w:rsidP="00A15F4D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взаимодействия федеральных органов исполнительной власти,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правовыми актами, знание которых необходимо для надлежащего исполнения гражданским служащим должностных обязанностей.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Иные профессиональные знания: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основные положения безопасности ведения работ при пользовании недрами;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деятельности по проведению экспертизы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 выдачи разрешений на право ведения работ в области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газ потребления;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комплекса.</w:t>
      </w:r>
    </w:p>
    <w:p w:rsidR="004050E5" w:rsidRPr="005E2203" w:rsidRDefault="004050E5" w:rsidP="004050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прогнозировать риски аварий на опасных производственных объектах, связанных с такими авариями угроз;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5E22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применять меры административного воздействия;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расследования причин аварий, несчастных случаев и оформлять результаты расследования причин аварий и несчастных случаев на опасных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производственных объектах;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4050E5" w:rsidRPr="005E2203" w:rsidRDefault="004050E5" w:rsidP="00405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0E5" w:rsidRDefault="004050E5" w:rsidP="004050E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государственный инспектор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050E5" w:rsidRDefault="004050E5" w:rsidP="004050E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4050E5" w:rsidRDefault="004050E5" w:rsidP="00405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служебный распорядок территориального органа Ростехнадзора;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поддерживать уровень квалификации, необходимый для надлежащего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ab/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9D6F8E" w:rsidRPr="00DC047A" w:rsidRDefault="004050E5" w:rsidP="00DC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</w:t>
      </w:r>
      <w:r w:rsidR="00DC047A"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надзор 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 xml:space="preserve">на подконтрольных предприятиях и организациях нефтегазодобычи и </w:t>
      </w:r>
      <w:r w:rsidR="009D6F8E" w:rsidRPr="00DC047A">
        <w:rPr>
          <w:rFonts w:ascii="Times New Roman" w:hAnsi="Times New Roman" w:cs="Times New Roman"/>
          <w:sz w:val="24"/>
          <w:szCs w:val="24"/>
        </w:rPr>
        <w:t>магистрального трубопроводного транспорта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за техническим состоянием опасных производственных объектов</w:t>
      </w:r>
      <w:r w:rsidRPr="00DC047A">
        <w:rPr>
          <w:rFonts w:ascii="Times New Roman" w:hAnsi="Times New Roman" w:cs="Times New Roman"/>
          <w:sz w:val="24"/>
          <w:szCs w:val="24"/>
        </w:rPr>
        <w:t xml:space="preserve"> нефтяной и газовой промышленности и магистрального трубопроводного транспорта</w:t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, их безопасной эксплуатацией</w:t>
      </w:r>
      <w:r w:rsidRPr="00DC047A">
        <w:rPr>
          <w:rFonts w:ascii="Times New Roman" w:hAnsi="Times New Roman" w:cs="Times New Roman"/>
          <w:sz w:val="24"/>
          <w:szCs w:val="24"/>
        </w:rPr>
        <w:t>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соблюдением требований промышленной безопасности при производстве взрывных работ на объектах нефтегазодобычи;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соблюдением требований промышленной безопасности при эксплуатации объектов геологоразведочных работ;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безопасным ведением работ при пользовании недрами;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маркшейдерским обеспечением горных работ;</w:t>
      </w:r>
    </w:p>
    <w:p w:rsidR="00EC46FA" w:rsidRPr="00DC047A" w:rsidRDefault="00EC46FA" w:rsidP="004511F5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эксплуатацией оборудования, работающего под избыточным давлением на объектах нефтегазодобычи</w:t>
      </w:r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szCs w:val="24"/>
        </w:rPr>
        <w:t xml:space="preserve">- </w:t>
      </w:r>
      <w:r w:rsidR="00075497">
        <w:rPr>
          <w:szCs w:val="24"/>
        </w:rPr>
        <w:tab/>
      </w:r>
      <w:r w:rsidRPr="00DC047A">
        <w:rPr>
          <w:rFonts w:eastAsia="Calibri"/>
          <w:szCs w:val="24"/>
        </w:rPr>
        <w:t xml:space="preserve">за соблюдением требований технических регламентов на опасных производственных объектах </w:t>
      </w:r>
      <w:r w:rsidRPr="00DC047A">
        <w:rPr>
          <w:szCs w:val="24"/>
        </w:rPr>
        <w:t>нефтегазодобычи и магистрального трубопроводного транспорта;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rFonts w:eastAsia="Calibri"/>
          <w:szCs w:val="24"/>
        </w:rPr>
        <w:lastRenderedPageBreak/>
        <w:t xml:space="preserve">- </w:t>
      </w:r>
      <w:r w:rsidR="00075497">
        <w:rPr>
          <w:rFonts w:eastAsia="Calibri"/>
          <w:szCs w:val="24"/>
        </w:rPr>
        <w:tab/>
      </w:r>
      <w:r w:rsidRPr="00DC047A">
        <w:rPr>
          <w:rFonts w:eastAsia="Calibri"/>
          <w:szCs w:val="24"/>
        </w:rPr>
        <w:t>за соблюдением требований промышленной безопасности на опасных производственных объектах</w:t>
      </w:r>
      <w:r w:rsidRPr="00DC047A">
        <w:rPr>
          <w:szCs w:val="24"/>
        </w:rPr>
        <w:t xml:space="preserve"> нефтегазодобычи и магистрального трубопроводного транспорта</w:t>
      </w:r>
      <w:r w:rsidRPr="00DC047A">
        <w:rPr>
          <w:rFonts w:eastAsia="Calibri"/>
          <w:szCs w:val="24"/>
        </w:rPr>
        <w:t>, в отношении которых установлен режим постоянного государственного контроля (надзора).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выполнением при строительстве, капитальном ремонте, реконструкции, консервации, ликвидации опасных производственных объектов </w:t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требований, содержащихся в проектах на выполнение соответствующего вида работ;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своевременностью и эффективностью выполнения мероприятий, обеспечивающих при проведении работ на объектах </w:t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безопасность для жизни и здоровья работников и населения, охрану окружающей среды, зданий и сооружений от вредного влияния этих работ и за соблюдением других требований.</w:t>
      </w:r>
    </w:p>
    <w:p w:rsidR="009D6F8E" w:rsidRPr="00DC047A" w:rsidRDefault="004050E5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3.1.6.</w:t>
      </w:r>
      <w:r w:rsidR="00DC047A" w:rsidRPr="00DC047A">
        <w:rPr>
          <w:rFonts w:ascii="Times New Roman" w:hAnsi="Times New Roman" w:cs="Times New Roman"/>
          <w:sz w:val="24"/>
          <w:szCs w:val="24"/>
        </w:rPr>
        <w:tab/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обобщение, учет и анализ данных </w:t>
      </w:r>
      <w:r w:rsidR="009D6F8E" w:rsidRPr="00DC047A">
        <w:rPr>
          <w:rFonts w:ascii="Times New Roman" w:eastAsia="Calibri" w:hAnsi="Times New Roman" w:cs="Times New Roman"/>
          <w:sz w:val="24"/>
          <w:szCs w:val="24"/>
        </w:rPr>
        <w:t xml:space="preserve">контрольно-наблюдательных дел поднадзорных организаций 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транспорта.</w:t>
      </w:r>
    </w:p>
    <w:p w:rsidR="003C1C6C" w:rsidRPr="00DC047A" w:rsidRDefault="004050E5" w:rsidP="004511F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</w:t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Составлять протоколы об административных правонарушениях,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3.1.8.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Управления,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у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частвовать при подготовке к рассмотрению дел об административных правонарушениях, предусмотренные статьями Кодекса Российской Федерации об административных правонарушениях;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3.1.9.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Обобщать результаты обследований, расследований аварий и несчастных случаев за определенный период на поднадзорных объектах;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3.1.10.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Рассматривать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граждан и письма предприятий, организаций и учреждений по вопросам промышленной безопасности;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3.1.11.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отчеты по выполненной контрольной и надзорной деятельности; вести банк данных по закрепленным за инспектором объектам;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3.1.12.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или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осуществлять связи с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административно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-хозяйственными органами;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3.1.13.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3.1.14.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деятельности;</w:t>
      </w:r>
    </w:p>
    <w:p w:rsidR="00A42DC2" w:rsidRPr="00DC047A" w:rsidRDefault="004050E5" w:rsidP="0007549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3.1.15.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2DC2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A42DC2" w:rsidRPr="00DC047A">
        <w:rPr>
          <w:rFonts w:ascii="Times New Roman" w:hAnsi="Times New Roman" w:cs="Times New Roman"/>
          <w:sz w:val="24"/>
          <w:szCs w:val="24"/>
        </w:rPr>
        <w:t>вносить результаты контрольно-надзорных мероприятий в отношении поднадзорных организаций в ФГИС «Единый реестр проверок</w:t>
      </w:r>
      <w:r w:rsidR="00B50B80" w:rsidRPr="00DC047A">
        <w:rPr>
          <w:rFonts w:ascii="Times New Roman" w:hAnsi="Times New Roman" w:cs="Times New Roman"/>
          <w:sz w:val="24"/>
          <w:szCs w:val="24"/>
        </w:rPr>
        <w:t>»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(акт проверки в течение 5 рабочих дней, постановление 3 рабочих дня),  осуществлять контроль за исполнением постановления. </w:t>
      </w:r>
    </w:p>
    <w:p w:rsidR="003C1C6C" w:rsidRPr="004511F5" w:rsidRDefault="004050E5" w:rsidP="004511F5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3.1.16.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  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</w:p>
    <w:p w:rsidR="007254BE" w:rsidRPr="004511F5" w:rsidRDefault="007254BE" w:rsidP="004511F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BA6BE8" w:rsidRDefault="00BA6BE8" w:rsidP="00BA6BE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Старший государственный инспектор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>№ 79–ФЗ «О государственной гражданской службе Российской Федерации» на: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1B5CBF" w:rsidRDefault="001B5CBF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Старший государственный инспектор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>есет ответственность в пределах, определенных законодательством Российской Федерации: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1B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6BE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BA6BE8" w:rsidRDefault="00BA6BE8" w:rsidP="00BA6BE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обязан самостоятельно принимать управленческие и иные решения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инспектор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(лицензий);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указаний о выводе людей с рабочих мест в случае угрозы жизни и здоровью работников и о временном запрете деятельности в соответствии с законодательством Р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в установленном порядке, с учетом руководящих документов У</w:t>
      </w:r>
      <w:r w:rsidRPr="004511F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правления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 лиц, должностных лиц и граждан, являющихся работниками поднадзорных предприятий к административной ответственности</w:t>
      </w:r>
      <w:r w:rsidRPr="00451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самостоятельно принимать решения по вопросам подготовки, согласовании и подписании: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проведенных обследований подконтрольных объектов: акта, предписания;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протокола по делам об административных правонарушениях;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письма-вызова для составления протокола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 плана работы, информационно-справочных материалов о работе, отчетов о работе по вопросам, относящимся к сфере его деятельности.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Ростехнадзор, органы власти, организации, предпринимателям без образования юридического лица;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запросы Ростехнадзора, органов власти, организаций, граждан;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работы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работе отдела.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докладных записок по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протоколов по результатам участия в аттестации (проверки знаний) руководителей, специалистов и рабочих организаций, подконтрольных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тделу;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протоколов, 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по результатам учета технических устройств: паспортов, журналов учета, заявлений владельца;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 по совершенствованию работы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тдела, установлению оптимальных путей и методов реализации поставленных служебных задач;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документов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439E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своей работы;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своей работе;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представляемых для согласования карт учета опасного производственного объекта,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Сроки и процедуры подготовки, рассмотрения проектов управленческих и              </w:t>
      </w:r>
    </w:p>
    <w:p w:rsidR="00BA6BE8" w:rsidRDefault="00BA6BE8" w:rsidP="00BA6B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иных решений, порядок согласования и принятия данных решений</w:t>
      </w:r>
    </w:p>
    <w:p w:rsidR="00BA6BE8" w:rsidRDefault="00BA6BE8" w:rsidP="00BA6BE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государственный инспектор 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регламентом Ростехнадзора;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приказами и распоряжениями Ростехнадзора, а также иными правовыми актами Ростехнадзора;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BA6BE8" w:rsidRDefault="00BA6BE8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A6BE8" w:rsidRDefault="00BA6BE8" w:rsidP="00BA6BE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 Федерации»,  а  также  в  соответствии с иными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Федерации.</w:t>
      </w: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профессиональной служебной 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BA6BE8" w:rsidRDefault="00BA6BE8" w:rsidP="00BA6B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widowControl w:val="0"/>
        <w:tabs>
          <w:tab w:val="left" w:pos="141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B5CBF" w:rsidRDefault="001B5CBF" w:rsidP="001B5CBF">
      <w:pPr>
        <w:widowControl w:val="0"/>
        <w:tabs>
          <w:tab w:val="left" w:pos="141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М.С. Рубан</w:t>
      </w:r>
    </w:p>
    <w:p w:rsidR="00BA6BE8" w:rsidRPr="00BF2179" w:rsidRDefault="00BA6BE8" w:rsidP="00BA6BE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BF" w:rsidRDefault="001B5CBF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BA6BE8" w:rsidRPr="00D66E8B" w:rsidRDefault="00BA6BE8" w:rsidP="00BA6BE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E8B">
        <w:rPr>
          <w:rFonts w:ascii="Times New Roman" w:eastAsia="Calibri" w:hAnsi="Times New Roman" w:cs="Times New Roman"/>
          <w:sz w:val="24"/>
          <w:szCs w:val="24"/>
        </w:rPr>
        <w:t xml:space="preserve">старшего государственного инспектора  межрегионального отдела по надзору за объектами нефтегазового комплекса </w:t>
      </w:r>
      <w:r w:rsidRPr="00D66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E8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BA6BE8" w:rsidTr="00BA6BE8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6BE8" w:rsidRDefault="00BA6BE8" w:rsidP="00BA6BE8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6BE8" w:rsidRDefault="00BA6BE8" w:rsidP="00BA6BE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AF2" w:rsidRPr="004511F5" w:rsidRDefault="00D96AF2" w:rsidP="00BA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96AF2" w:rsidRPr="004511F5" w:rsidSect="009D76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DC" w:rsidRDefault="00A572DC" w:rsidP="00D96AF2">
      <w:pPr>
        <w:spacing w:after="0" w:line="240" w:lineRule="auto"/>
      </w:pPr>
      <w:r>
        <w:separator/>
      </w:r>
    </w:p>
  </w:endnote>
  <w:endnote w:type="continuationSeparator" w:id="0">
    <w:p w:rsidR="00A572DC" w:rsidRDefault="00A572DC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DC" w:rsidRDefault="00A572DC" w:rsidP="00D96AF2">
      <w:pPr>
        <w:spacing w:after="0" w:line="240" w:lineRule="auto"/>
      </w:pPr>
      <w:r>
        <w:separator/>
      </w:r>
    </w:p>
  </w:footnote>
  <w:footnote w:type="continuationSeparator" w:id="0">
    <w:p w:rsidR="00A572DC" w:rsidRDefault="00A572DC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03734"/>
      <w:docPartObj>
        <w:docPartGallery w:val="Page Numbers (Top of Page)"/>
        <w:docPartUnique/>
      </w:docPartObj>
    </w:sdtPr>
    <w:sdtEndPr/>
    <w:sdtContent>
      <w:p w:rsidR="00753242" w:rsidRDefault="007532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9A">
          <w:rPr>
            <w:noProof/>
          </w:rPr>
          <w:t>8</w:t>
        </w:r>
        <w:r>
          <w:fldChar w:fldCharType="end"/>
        </w:r>
      </w:p>
    </w:sdtContent>
  </w:sdt>
  <w:p w:rsidR="00753242" w:rsidRDefault="00753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BFB"/>
    <w:multiLevelType w:val="hybridMultilevel"/>
    <w:tmpl w:val="566AB776"/>
    <w:lvl w:ilvl="0" w:tplc="359608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F134AFD"/>
    <w:multiLevelType w:val="hybridMultilevel"/>
    <w:tmpl w:val="181A1200"/>
    <w:lvl w:ilvl="0" w:tplc="552E47B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7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9">
    <w:nsid w:val="531C1B9C"/>
    <w:multiLevelType w:val="hybridMultilevel"/>
    <w:tmpl w:val="CC14D1B6"/>
    <w:lvl w:ilvl="0" w:tplc="713EE8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1">
    <w:nsid w:val="5E4D09CE"/>
    <w:multiLevelType w:val="hybridMultilevel"/>
    <w:tmpl w:val="B804FC64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665C81"/>
    <w:multiLevelType w:val="hybridMultilevel"/>
    <w:tmpl w:val="50C60CA4"/>
    <w:lvl w:ilvl="0" w:tplc="713EE884">
      <w:start w:val="1"/>
      <w:numFmt w:val="bullet"/>
      <w:lvlText w:val="-"/>
      <w:lvlJc w:val="left"/>
      <w:pPr>
        <w:ind w:left="24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DB4F5A"/>
    <w:multiLevelType w:val="hybridMultilevel"/>
    <w:tmpl w:val="0B04EEF6"/>
    <w:lvl w:ilvl="0" w:tplc="713EE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725753FF"/>
    <w:multiLevelType w:val="hybridMultilevel"/>
    <w:tmpl w:val="6EBEF3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4C5154"/>
    <w:multiLevelType w:val="hybridMultilevel"/>
    <w:tmpl w:val="378EA452"/>
    <w:lvl w:ilvl="0" w:tplc="637C2314">
      <w:start w:val="1"/>
      <w:numFmt w:val="decimal"/>
      <w:lvlText w:val="%1)"/>
      <w:lvlJc w:val="left"/>
      <w:pPr>
        <w:ind w:left="2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>
    <w:nsid w:val="7DA87068"/>
    <w:multiLevelType w:val="hybridMultilevel"/>
    <w:tmpl w:val="410CBD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7"/>
  </w:num>
  <w:num w:numId="17">
    <w:abstractNumId w:val="16"/>
  </w:num>
  <w:num w:numId="18">
    <w:abstractNumId w:val="13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D4"/>
    <w:rsid w:val="000023D5"/>
    <w:rsid w:val="0001408A"/>
    <w:rsid w:val="000164DB"/>
    <w:rsid w:val="00020AD8"/>
    <w:rsid w:val="00021EF1"/>
    <w:rsid w:val="00032ECF"/>
    <w:rsid w:val="0003325A"/>
    <w:rsid w:val="00040B8D"/>
    <w:rsid w:val="00075497"/>
    <w:rsid w:val="0009102C"/>
    <w:rsid w:val="0009389E"/>
    <w:rsid w:val="00095305"/>
    <w:rsid w:val="00101DFB"/>
    <w:rsid w:val="0011033C"/>
    <w:rsid w:val="00110407"/>
    <w:rsid w:val="00112E66"/>
    <w:rsid w:val="0011691F"/>
    <w:rsid w:val="00125F25"/>
    <w:rsid w:val="00127B38"/>
    <w:rsid w:val="001407A8"/>
    <w:rsid w:val="00172338"/>
    <w:rsid w:val="001B5CBF"/>
    <w:rsid w:val="00200171"/>
    <w:rsid w:val="00264AF8"/>
    <w:rsid w:val="00265AE3"/>
    <w:rsid w:val="00271E20"/>
    <w:rsid w:val="00297E18"/>
    <w:rsid w:val="002E7B8F"/>
    <w:rsid w:val="00306796"/>
    <w:rsid w:val="003154C5"/>
    <w:rsid w:val="003201AB"/>
    <w:rsid w:val="00324457"/>
    <w:rsid w:val="0035619D"/>
    <w:rsid w:val="003561CF"/>
    <w:rsid w:val="00365804"/>
    <w:rsid w:val="003733A4"/>
    <w:rsid w:val="00373FDE"/>
    <w:rsid w:val="00377870"/>
    <w:rsid w:val="00392B73"/>
    <w:rsid w:val="003A4F9C"/>
    <w:rsid w:val="003C0C0B"/>
    <w:rsid w:val="003C1C6C"/>
    <w:rsid w:val="003C534D"/>
    <w:rsid w:val="003E4074"/>
    <w:rsid w:val="00401607"/>
    <w:rsid w:val="004042D2"/>
    <w:rsid w:val="004050E5"/>
    <w:rsid w:val="00432A24"/>
    <w:rsid w:val="00441500"/>
    <w:rsid w:val="004511F5"/>
    <w:rsid w:val="00457840"/>
    <w:rsid w:val="0046528F"/>
    <w:rsid w:val="00470A1F"/>
    <w:rsid w:val="00487A48"/>
    <w:rsid w:val="004A469F"/>
    <w:rsid w:val="004A7EBC"/>
    <w:rsid w:val="004B3815"/>
    <w:rsid w:val="004D55D6"/>
    <w:rsid w:val="004F6F4D"/>
    <w:rsid w:val="005375E4"/>
    <w:rsid w:val="00556024"/>
    <w:rsid w:val="005A7781"/>
    <w:rsid w:val="005B6CF9"/>
    <w:rsid w:val="005C5D54"/>
    <w:rsid w:val="005C7963"/>
    <w:rsid w:val="005E59E1"/>
    <w:rsid w:val="005F0B9C"/>
    <w:rsid w:val="005F0D0B"/>
    <w:rsid w:val="00644446"/>
    <w:rsid w:val="0066480F"/>
    <w:rsid w:val="00674FFA"/>
    <w:rsid w:val="006E6FB3"/>
    <w:rsid w:val="006F28C0"/>
    <w:rsid w:val="00717728"/>
    <w:rsid w:val="007254BE"/>
    <w:rsid w:val="00753242"/>
    <w:rsid w:val="00781522"/>
    <w:rsid w:val="007C2002"/>
    <w:rsid w:val="007C4A5E"/>
    <w:rsid w:val="007D2E69"/>
    <w:rsid w:val="007E1429"/>
    <w:rsid w:val="008004AE"/>
    <w:rsid w:val="00803B2B"/>
    <w:rsid w:val="00807DB6"/>
    <w:rsid w:val="00817CB3"/>
    <w:rsid w:val="00831DEB"/>
    <w:rsid w:val="00837333"/>
    <w:rsid w:val="00840516"/>
    <w:rsid w:val="0085763C"/>
    <w:rsid w:val="00873814"/>
    <w:rsid w:val="00884038"/>
    <w:rsid w:val="008A48E0"/>
    <w:rsid w:val="008A5E21"/>
    <w:rsid w:val="008E1D9A"/>
    <w:rsid w:val="009168E4"/>
    <w:rsid w:val="00921867"/>
    <w:rsid w:val="00972FCB"/>
    <w:rsid w:val="00980313"/>
    <w:rsid w:val="00990FAB"/>
    <w:rsid w:val="0099362C"/>
    <w:rsid w:val="0099380E"/>
    <w:rsid w:val="009C4428"/>
    <w:rsid w:val="009D2E03"/>
    <w:rsid w:val="009D656B"/>
    <w:rsid w:val="009D6F8E"/>
    <w:rsid w:val="009D760F"/>
    <w:rsid w:val="009E03F5"/>
    <w:rsid w:val="009E499A"/>
    <w:rsid w:val="009E6A16"/>
    <w:rsid w:val="00A037C3"/>
    <w:rsid w:val="00A15F4D"/>
    <w:rsid w:val="00A417D0"/>
    <w:rsid w:val="00A42DC2"/>
    <w:rsid w:val="00A4553D"/>
    <w:rsid w:val="00A572DC"/>
    <w:rsid w:val="00A64A50"/>
    <w:rsid w:val="00A847F1"/>
    <w:rsid w:val="00A8592A"/>
    <w:rsid w:val="00AB3A24"/>
    <w:rsid w:val="00AD3B1B"/>
    <w:rsid w:val="00AE1AD7"/>
    <w:rsid w:val="00B03652"/>
    <w:rsid w:val="00B0409D"/>
    <w:rsid w:val="00B0799B"/>
    <w:rsid w:val="00B1659E"/>
    <w:rsid w:val="00B50B80"/>
    <w:rsid w:val="00B71295"/>
    <w:rsid w:val="00B730B3"/>
    <w:rsid w:val="00B82F74"/>
    <w:rsid w:val="00BA6256"/>
    <w:rsid w:val="00BA6BE8"/>
    <w:rsid w:val="00BB2B15"/>
    <w:rsid w:val="00BB5153"/>
    <w:rsid w:val="00BF0142"/>
    <w:rsid w:val="00BF3808"/>
    <w:rsid w:val="00C275B8"/>
    <w:rsid w:val="00C33AD7"/>
    <w:rsid w:val="00C62D73"/>
    <w:rsid w:val="00C85F7E"/>
    <w:rsid w:val="00C9557F"/>
    <w:rsid w:val="00CC4884"/>
    <w:rsid w:val="00CE1F42"/>
    <w:rsid w:val="00CF4568"/>
    <w:rsid w:val="00D05F09"/>
    <w:rsid w:val="00D11378"/>
    <w:rsid w:val="00D17F7B"/>
    <w:rsid w:val="00D25962"/>
    <w:rsid w:val="00D410E4"/>
    <w:rsid w:val="00D46821"/>
    <w:rsid w:val="00D47ED6"/>
    <w:rsid w:val="00D52FB0"/>
    <w:rsid w:val="00D64CA1"/>
    <w:rsid w:val="00D66E8B"/>
    <w:rsid w:val="00D802E0"/>
    <w:rsid w:val="00D84F19"/>
    <w:rsid w:val="00D91042"/>
    <w:rsid w:val="00D96AF2"/>
    <w:rsid w:val="00D973E7"/>
    <w:rsid w:val="00DA1A77"/>
    <w:rsid w:val="00DA7ECA"/>
    <w:rsid w:val="00DC047A"/>
    <w:rsid w:val="00DC0592"/>
    <w:rsid w:val="00DF6591"/>
    <w:rsid w:val="00E022F2"/>
    <w:rsid w:val="00E231B6"/>
    <w:rsid w:val="00E2590B"/>
    <w:rsid w:val="00E40CEB"/>
    <w:rsid w:val="00E43006"/>
    <w:rsid w:val="00E45336"/>
    <w:rsid w:val="00E62EF5"/>
    <w:rsid w:val="00E73CD4"/>
    <w:rsid w:val="00E74A82"/>
    <w:rsid w:val="00E7678C"/>
    <w:rsid w:val="00E80E36"/>
    <w:rsid w:val="00E85D65"/>
    <w:rsid w:val="00EB3576"/>
    <w:rsid w:val="00EC3734"/>
    <w:rsid w:val="00EC46FA"/>
    <w:rsid w:val="00EE52F9"/>
    <w:rsid w:val="00EE7C19"/>
    <w:rsid w:val="00EF2F4C"/>
    <w:rsid w:val="00F00BA9"/>
    <w:rsid w:val="00F1439E"/>
    <w:rsid w:val="00F14BC5"/>
    <w:rsid w:val="00F226AB"/>
    <w:rsid w:val="00F427C1"/>
    <w:rsid w:val="00F62873"/>
    <w:rsid w:val="00F7524B"/>
    <w:rsid w:val="00F80CB8"/>
    <w:rsid w:val="00F974BE"/>
    <w:rsid w:val="00FA48C7"/>
    <w:rsid w:val="00FB61CA"/>
    <w:rsid w:val="00FC2AD2"/>
    <w:rsid w:val="00FD4445"/>
    <w:rsid w:val="00FE14B9"/>
    <w:rsid w:val="00FF050B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592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5A7781"/>
    <w:rPr>
      <w:color w:val="0000FF"/>
      <w:u w:val="single"/>
    </w:rPr>
  </w:style>
  <w:style w:type="paragraph" w:customStyle="1" w:styleId="ConsPlusNormal">
    <w:name w:val="ConsPlusNormal"/>
    <w:rsid w:val="00BA6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A6B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36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53269D1B0EDAE0E35DE22EC31Dt8R9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61EC909995983583B441CADj2UF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733A4A31C280B8C482E7660AC9685649510CC0B9C5983583B441CADj2UF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hyperlink" Target="consultantplus://offline/ref=3D7C115FCB97105C510FB481B89ED4ADF01FA6A310303AC94BA8E961816AC5FD53269D1B0EDAE0E35DE22EC31Dt8R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C160-835C-4123-813D-CB3C3A4B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95</cp:revision>
  <cp:lastPrinted>2019-05-22T07:37:00Z</cp:lastPrinted>
  <dcterms:created xsi:type="dcterms:W3CDTF">2017-08-11T13:21:00Z</dcterms:created>
  <dcterms:modified xsi:type="dcterms:W3CDTF">2019-06-18T13:29:00Z</dcterms:modified>
</cp:coreProperties>
</file>